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百亿资产包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销售说明书</w:t>
      </w:r>
    </w:p>
    <w:p w14:paraId="22490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、客户画像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及痛点</w:t>
      </w:r>
    </w:p>
    <w:p w14:paraId="4FE5D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答：1、无力偿还债务的债务人</w:t>
      </w:r>
    </w:p>
    <w:p w14:paraId="46DE63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打赢官司，有判决书，却拿不到钱的债权人</w:t>
      </w:r>
    </w:p>
    <w:p w14:paraId="7FA40A0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有法院资源的人</w:t>
      </w:r>
    </w:p>
    <w:p w14:paraId="74779C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有城投公司及政府资源的人</w:t>
      </w:r>
    </w:p>
    <w:p w14:paraId="322A998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业务类型</w:t>
      </w:r>
    </w:p>
    <w:p w14:paraId="56972DF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答：1、债务加入</w:t>
      </w:r>
    </w:p>
    <w:p w14:paraId="739BD0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2、与城投公司合作</w:t>
      </w:r>
    </w:p>
    <w:p w14:paraId="499CF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、服务结果</w:t>
      </w:r>
    </w:p>
    <w:p w14:paraId="42726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答：1、帮助债务人清偿其债务，同时债务人无需额外花钱。</w:t>
      </w:r>
    </w:p>
    <w:p w14:paraId="1EFE13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2、帮助债权人实现债权，拿到欠款。</w:t>
      </w:r>
    </w:p>
    <w:p w14:paraId="200CF0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3、协助法院化解债务纠纷、执行法官完成结案，提升结案率，维护社会和谐稳定。</w:t>
      </w:r>
    </w:p>
    <w:p w14:paraId="1F36BA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4、帮助城投公司增加营收，更好实现其作为政府和市场之间的链接职能，并发挥积极作用。</w:t>
      </w:r>
    </w:p>
    <w:p w14:paraId="4A2CD5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为什么可以100%交付</w:t>
      </w:r>
    </w:p>
    <w:p w14:paraId="57ADF4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答：1、债务加入，是民法典552条明文规定，该业务合规合法。</w:t>
      </w:r>
    </w:p>
    <w:p w14:paraId="75F5060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资产包的来源有保障。</w:t>
      </w:r>
    </w:p>
    <w:p w14:paraId="4F02993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仅需按照法定流程，同时找到有条件的司法机构推进即可。</w:t>
      </w:r>
    </w:p>
    <w:p w14:paraId="10800B8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城投公司，国企背景做背书，负责体制内沟通协调保证落地。</w:t>
      </w:r>
    </w:p>
    <w:p w14:paraId="30B12F5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如何展业</w:t>
      </w:r>
    </w:p>
    <w:p w14:paraId="186371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债务加入的流程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3A17BD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1、代理商、债务人或者债务企业能够和法院执行局达成以下共识:允许债务人或者债务企业以债务加入的方式偿还债务，按回款结算固定比例，债务加入业务启动。</w:t>
      </w:r>
    </w:p>
    <w:p w14:paraId="321059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2、明确股权结构，债务人或者债务企业、代理商、律源通各占5%，银侨及投资人占85%，整合资源。</w:t>
      </w:r>
    </w:p>
    <w:p w14:paraId="0C669A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3、资产包，是债务加入的核心资产，用于后续执行回款。资产包由银侨投资及投资人投资购买，代理商无需出资。</w:t>
      </w:r>
    </w:p>
    <w:p w14:paraId="3E68DE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4、有限公司申请债务加入，债权人向法院申请强制执行，推动债务处理。</w:t>
      </w:r>
    </w:p>
    <w:p w14:paraId="4EB665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5、法院介入对资产包资产进行冻结查封，保障各方权益。</w:t>
      </w:r>
    </w:p>
    <w:p w14:paraId="41DF8A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6、个债资产包执行回款，按股份比例分取，多方共赢。债权人债权回款成功，债务人偿还完毕，执行局结案，银侨投资及投资人获得投资款及收益。</w:t>
      </w:r>
    </w:p>
    <w:p w14:paraId="2F4162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城投公司合作要点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50F2458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城投等负责解决当地法院批量诉前保全的难题。</w:t>
      </w:r>
    </w:p>
    <w:p w14:paraId="4C5697A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按照案件数量获取合作费用:</w:t>
      </w:r>
    </w:p>
    <w:p w14:paraId="2BEBFE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1万件 --60元/件</w:t>
      </w:r>
    </w:p>
    <w:p w14:paraId="1BAB30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1-3万件 --70元/件</w:t>
      </w:r>
    </w:p>
    <w:p w14:paraId="6CCCCE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3万件以上 --80元/件量大可议，最高100元/件。</w:t>
      </w:r>
    </w:p>
    <w:p w14:paraId="4D8659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3、银侨与城投等公司合作购买个债资产包，明确双方职</w:t>
      </w:r>
    </w:p>
    <w:p w14:paraId="0BC0E5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责与流程。</w:t>
      </w:r>
    </w:p>
    <w:p w14:paraId="24BCAF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4、银侨承担资产包购买费用、诉讼费用，整理材料，安排调解与执行，确保合作顺利进行。</w:t>
      </w:r>
    </w:p>
    <w:p w14:paraId="30A6E2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5、城投等以公司名义购买资产包，协调法院批量诉前保</w:t>
      </w:r>
    </w:p>
    <w:p w14:paraId="2DEBCE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全或立案，推进试案与合作，试案成功批量启动。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五、业务收益怎么分配？</w:t>
      </w:r>
    </w:p>
    <w:p w14:paraId="609A4F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答：1、债务加入的。</w:t>
      </w:r>
    </w:p>
    <w:p w14:paraId="00344A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举例说明，张三欠李四500万，已经法院判决，到执行阶段，法院同意债务加入，并顺利执行完成500涉案款。</w:t>
      </w:r>
    </w:p>
    <w:p w14:paraId="54E759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代理商王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（商务总监）做了这个500万的债务加入单子，王总按照职级将获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得佣金收入：500万X20.5%=102.5万</w:t>
      </w:r>
    </w:p>
    <w:p w14:paraId="795C4FA4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城投公司合作，</w:t>
      </w:r>
    </w:p>
    <w:p w14:paraId="0AC3223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举例：代理商王总（商务总监）联系了某城投公司并和银侨合作，成功试案后，启动批量诉保业务，一天10000件。</w:t>
      </w:r>
    </w:p>
    <w:p w14:paraId="4170F1D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城投公司收入：10000X60=60万，代理商王总（商务总监）业绩：10000X30=30万，按照王总职级获取佣金：30万X20.5=6.15万。</w:t>
      </w:r>
    </w:p>
    <w:p w14:paraId="21B95E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代理商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的分润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体系介绍</w:t>
      </w:r>
    </w:p>
    <w:p w14:paraId="738D6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>1、代理商（经理）20%分润（需扣除2%的税费和2%的管理费，实发16%）</w:t>
      </w:r>
    </w:p>
    <w:p w14:paraId="2DACE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>2、代理商（总监）25%分润（需扣除2%的税费和2.5%的管理费，实发20.5%）</w:t>
      </w:r>
    </w:p>
    <w:p w14:paraId="67CE59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>3、代理商（优秀总监）30%分润（需扣除2%的税费和3%的管理费，实发25%）</w:t>
      </w:r>
    </w:p>
    <w:p w14:paraId="56D29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>4、总监管理费累计扣除100万之后，不再扣除</w:t>
      </w:r>
    </w:p>
    <w:p w14:paraId="017B05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管理岗位：政策委员会6.5%分润（由政策委员会负责分配）（包含执行院长3%的帮扶费用）；</w:t>
      </w:r>
    </w:p>
    <w:p w14:paraId="3CFCE2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总监管理费的10%【分润政策委员会获得80% ，20%为丰锐文化传媒（培训总公司）获得】</w:t>
      </w:r>
    </w:p>
    <w:p w14:paraId="40222F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6、管理岗位：培训省公司6.5%分润（由培训省公司负责人负责分配）（包含执行院长3%的帮扶费用）；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总监管理费的10%【分润省培负责人获得80% ，20%为丰锐文化传媒（培训总公司）获得】</w:t>
      </w:r>
    </w:p>
    <w:p w14:paraId="0596B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 xml:space="preserve">7、管理岗位：办事处负责人 </w:t>
      </w:r>
      <w:r>
        <w:rPr>
          <w:rFonts w:hint="eastAsia" w:asciiTheme="minorEastAsia" w:hAnsiTheme="minorEastAsia" w:cstheme="minorEastAsia"/>
          <w:color w:val="231916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>%分润（需扣除2%的管理费，实发1</w:t>
      </w:r>
      <w:r>
        <w:rPr>
          <w:rFonts w:hint="eastAsia" w:asciiTheme="minorEastAsia" w:hAnsiTheme="minorEastAsia" w:cstheme="minorEastAsia"/>
          <w:color w:val="231916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color w:val="231916"/>
          <w:kern w:val="0"/>
          <w:sz w:val="32"/>
          <w:szCs w:val="32"/>
          <w:lang w:val="en-US" w:eastAsia="zh-CN" w:bidi="ar"/>
        </w:rPr>
        <w:t>%）</w:t>
      </w:r>
    </w:p>
    <w:p w14:paraId="411138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、成交流程</w:t>
      </w:r>
    </w:p>
    <w:p w14:paraId="5A8F27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答：1、代理商跟意向客户讲解、沟通</w:t>
      </w:r>
    </w:p>
    <w:p w14:paraId="4F42F9B8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代理商和债务人、法院沟通初步完成</w:t>
      </w:r>
    </w:p>
    <w:p w14:paraId="6C4B44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3、市场部建群推进、答疑</w:t>
      </w:r>
    </w:p>
    <w:p w14:paraId="4A2110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4、成立公司，注入资产、申请执行、后端交付团队介入。</w:t>
      </w:r>
    </w:p>
    <w:p w14:paraId="48B9E9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5、结案按约定分钱。</w:t>
      </w:r>
    </w:p>
    <w:p w14:paraId="1C24A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13" w:right="1463" w:bottom="1213" w:left="1463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91A00">
    <w:pPr>
      <w:pStyle w:val="2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822575" cy="197485"/>
          <wp:effectExtent l="0" t="0" r="15875" b="12065"/>
          <wp:docPr id="2" name="图片 2" descr="39f3ebcb4e3de22394e1bd289647a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39f3ebcb4e3de22394e1bd289647a7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197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461C">
    <w:pPr>
      <w:pStyle w:val="3"/>
      <w:tabs>
        <w:tab w:val="clear" w:pos="4153"/>
      </w:tabs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652135" cy="500380"/>
          <wp:effectExtent l="0" t="0" r="5715" b="13970"/>
          <wp:docPr id="1" name="图片 1" descr="8e6d70dd2c25272b1b7d318a87800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e6d70dd2c25272b1b7d318a87800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2135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85981"/>
    <w:multiLevelType w:val="singleLevel"/>
    <w:tmpl w:val="8B5859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E5FC45"/>
    <w:multiLevelType w:val="singleLevel"/>
    <w:tmpl w:val="EEE5FC4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56C657"/>
    <w:multiLevelType w:val="singleLevel"/>
    <w:tmpl w:val="F656C657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2F6EE52"/>
    <w:multiLevelType w:val="singleLevel"/>
    <w:tmpl w:val="32F6EE52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76C32AD9"/>
    <w:multiLevelType w:val="singleLevel"/>
    <w:tmpl w:val="76C32A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2BE0"/>
    <w:rsid w:val="080B4F58"/>
    <w:rsid w:val="0AA11D98"/>
    <w:rsid w:val="1235718D"/>
    <w:rsid w:val="154E04E2"/>
    <w:rsid w:val="1C766C98"/>
    <w:rsid w:val="230814DA"/>
    <w:rsid w:val="391A9085"/>
    <w:rsid w:val="45132AAF"/>
    <w:rsid w:val="4DFA23FF"/>
    <w:rsid w:val="4EF92D15"/>
    <w:rsid w:val="51962B46"/>
    <w:rsid w:val="5A221372"/>
    <w:rsid w:val="5DF3B5CF"/>
    <w:rsid w:val="60AF76D8"/>
    <w:rsid w:val="62B649CF"/>
    <w:rsid w:val="65696E14"/>
    <w:rsid w:val="67076486"/>
    <w:rsid w:val="6A2E6C93"/>
    <w:rsid w:val="70076353"/>
    <w:rsid w:val="757C3BD5"/>
    <w:rsid w:val="78262DA5"/>
    <w:rsid w:val="FB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1613</Characters>
  <Lines>0</Lines>
  <Paragraphs>0</Paragraphs>
  <TotalTime>255</TotalTime>
  <ScaleCrop>false</ScaleCrop>
  <LinksUpToDate>false</LinksUpToDate>
  <CharactersWithSpaces>1617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2025-02-19T07:41:00Z</dcterms:created>
  <dc:creator>Administrator</dc:creator>
  <cp:lastModifiedBy>倚窗听雨</cp:lastModifiedBy>
  <dcterms:modified xsi:type="dcterms:W3CDTF">2025-08-22T09:16:11Z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eyJoZGlkIjoiMzI4NzgzNDgwY2RlOWRlMTA2NmRhZTY4Zjk5MzhhMTgiLCJ1c2VySWQiOiI2OTE5NTU3MjYifQ==</vt:lpwstr>
  </property>
  <property fmtid="{D5CDD505-2E9C-101B-9397-08002B2CF9AE}" pid="4" name="ICV">
    <vt:lpwstr>8F75DD036EB54E179DDAD9B77EE4F3CD_13</vt:lpwstr>
  </property>
</Properties>
</file>