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F438D">
      <w:pPr>
        <w:widowControl/>
        <w:adjustRightInd w:val="0"/>
        <w:snapToGrid w:val="0"/>
        <w:spacing w:after="200"/>
        <w:ind w:firstLine="5880" w:firstLineChars="2800"/>
        <w:jc w:val="both"/>
        <w:rPr>
          <w:rFonts w:ascii="微软雅黑" w:hAnsi="微软雅黑" w:eastAsia="微软雅黑" w:cs="微软雅黑"/>
          <w:b/>
          <w:kern w:val="0"/>
          <w:sz w:val="32"/>
          <w:szCs w:val="32"/>
        </w:rPr>
      </w:pPr>
      <w:r>
        <w:rPr>
          <w:rFonts w:ascii="Calibri" w:hAnsi="Calibri" w:eastAsia="宋体" w:cs="宋体"/>
          <w:kern w:val="2"/>
          <w:sz w:val="21"/>
          <w:szCs w:val="24"/>
          <w:lang w:val="en-US" w:eastAsia="zh-CN" w:bidi="ar-SA"/>
        </w:rPr>
        <mc:AlternateContent>
          <mc:Choice Requires="wps">
            <w:drawing>
              <wp:anchor distT="0" distB="0" distL="0" distR="0" simplePos="0" relativeHeight="251661312" behindDoc="0" locked="0" layoutInCell="1" allowOverlap="1">
                <wp:simplePos x="0" y="0"/>
                <wp:positionH relativeFrom="column">
                  <wp:posOffset>-1073785</wp:posOffset>
                </wp:positionH>
                <wp:positionV relativeFrom="paragraph">
                  <wp:posOffset>3178175</wp:posOffset>
                </wp:positionV>
                <wp:extent cx="7989570" cy="278765"/>
                <wp:effectExtent l="0" t="0" r="11430" b="6985"/>
                <wp:wrapNone/>
                <wp:docPr id="12" name="矩形 4"/>
                <wp:cNvGraphicFramePr/>
                <a:graphic xmlns:a="http://schemas.openxmlformats.org/drawingml/2006/main">
                  <a:graphicData uri="http://schemas.microsoft.com/office/word/2010/wordprocessingShape">
                    <wps:wsp>
                      <wps:cNvSpPr/>
                      <wps:spPr>
                        <a:xfrm>
                          <a:off x="0" y="0"/>
                          <a:ext cx="7989570" cy="278765"/>
                        </a:xfrm>
                        <a:prstGeom prst="rect">
                          <a:avLst/>
                        </a:prstGeom>
                        <a:gradFill flip="none" rotWithShape="0">
                          <a:gsLst>
                            <a:gs pos="0">
                              <a:srgbClr val="CB954D"/>
                            </a:gs>
                            <a:gs pos="100000">
                              <a:srgbClr val="EEC988"/>
                            </a:gs>
                          </a:gsLst>
                          <a:lin ang="16200000" scaled="1"/>
                        </a:gradFill>
                        <a:ln>
                          <a:noFill/>
                        </a:ln>
                      </wps:spPr>
                      <wps:bodyPr/>
                    </wps:wsp>
                  </a:graphicData>
                </a:graphic>
              </wp:anchor>
            </w:drawing>
          </mc:Choice>
          <mc:Fallback>
            <w:pict>
              <v:rect id="矩形 4" o:spid="_x0000_s1026" o:spt="1" style="position:absolute;left:0pt;margin-left:-84.55pt;margin-top:250.25pt;height:21.95pt;width:629.1pt;z-index:251661312;mso-width-relative:page;mso-height-relative:page;" fillcolor="#CB954D" filled="t" stroked="f" coordsize="21600,21600" o:gfxdata="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XTDUrbAAAADQEAAA8AAAAAAAAAAQAgAAAAIgAAAGRycy9kb3ducmV2LnhtbFBL&#10;AQIUABQAAAAIAIdO4kBwuuOU8wEAAOwDAAAOAAAAAAAAAAEAIAAAACoBAABkcnMvZTJvRG9jLnht&#10;bFBLBQYAAAAABgAGAFkBAACPBQAAAAA=&#10;">
                <v:fill type="gradient" on="t" color2="#EEC988" angle="180" focus="100%" focussize="0,0"/>
                <v:stroke on="f"/>
                <v:imagedata o:title=""/>
                <o:lock v:ext="edit" aspectratio="f"/>
              </v:rect>
            </w:pict>
          </mc:Fallback>
        </mc:AlternateContent>
      </w:r>
      <w:bookmarkStart w:id="0" w:name="_GoBack"/>
      <w:bookmarkEnd w:id="0"/>
      <w:r>
        <mc:AlternateContent>
          <mc:Choice Requires="wps">
            <w:drawing>
              <wp:anchor distT="0" distB="0" distL="114300" distR="114300" simplePos="0" relativeHeight="251662336" behindDoc="1" locked="0" layoutInCell="1" allowOverlap="1">
                <wp:simplePos x="0" y="0"/>
                <wp:positionH relativeFrom="column">
                  <wp:posOffset>-848360</wp:posOffset>
                </wp:positionH>
                <wp:positionV relativeFrom="paragraph">
                  <wp:posOffset>3450590</wp:posOffset>
                </wp:positionV>
                <wp:extent cx="7963535" cy="5848350"/>
                <wp:effectExtent l="0" t="0" r="18415" b="0"/>
                <wp:wrapNone/>
                <wp:docPr id="16" name="文本框 16"/>
                <wp:cNvGraphicFramePr/>
                <a:graphic xmlns:a="http://schemas.openxmlformats.org/drawingml/2006/main">
                  <a:graphicData uri="http://schemas.microsoft.com/office/word/2010/wordprocessingShape">
                    <wps:wsp>
                      <wps:cNvSpPr txBox="1"/>
                      <wps:spPr>
                        <a:xfrm>
                          <a:off x="83185" y="6130290"/>
                          <a:ext cx="7963535" cy="5848350"/>
                        </a:xfrm>
                        <a:prstGeom prst="rect">
                          <a:avLst/>
                        </a:prstGeom>
                        <a:solidFill>
                          <a:srgbClr val="C00000"/>
                        </a:solidFill>
                        <a:ln w="12700" cap="flat" cmpd="sng" algn="ctr">
                          <a:noFill/>
                          <a:prstDash val="solid"/>
                          <a:miter lim="800000"/>
                        </a:ln>
                        <a:effectLst/>
                      </wps:spPr>
                      <wps:txbx>
                        <w:txbxContent>
                          <w:p w14:paraId="6B7E7C1A">
                            <w:pPr>
                              <w:jc w:val="both"/>
                              <w:rPr>
                                <w:rFonts w:ascii="微软雅黑" w:hAnsi="微软雅黑" w:eastAsia="微软雅黑" w:cs="微软雅黑"/>
                                <w:b/>
                                <w:color w:val="FFFFFF"/>
                                <w:kern w:val="0"/>
                                <w:sz w:val="96"/>
                                <w:szCs w:val="96"/>
                              </w:rPr>
                            </w:pPr>
                            <w:r>
                              <w:rPr>
                                <w:rFonts w:hint="eastAsia" w:ascii="微软雅黑" w:hAnsi="微软雅黑" w:eastAsia="微软雅黑" w:cs="微软雅黑"/>
                                <w:b/>
                                <w:color w:val="FFFFFF"/>
                                <w:kern w:val="0"/>
                                <w:sz w:val="112"/>
                                <w:szCs w:val="112"/>
                                <w:lang w:eastAsia="zh-CN"/>
                              </w:rPr>
                              <w:t>保房法律服务</w:t>
                            </w:r>
                            <w:r>
                              <w:rPr>
                                <w:rFonts w:hint="eastAsia" w:ascii="微软雅黑" w:hAnsi="微软雅黑" w:eastAsia="微软雅黑" w:cs="微软雅黑"/>
                                <w:b/>
                                <w:color w:val="FFFFFF"/>
                                <w:kern w:val="0"/>
                                <w:sz w:val="112"/>
                                <w:szCs w:val="112"/>
                              </w:rPr>
                              <w:t>协议</w:t>
                            </w:r>
                          </w:p>
                          <w:p w14:paraId="5908E979">
                            <w:pPr>
                              <w:ind w:firstLine="5720" w:firstLineChars="1100"/>
                              <w:jc w:val="both"/>
                              <w:rPr>
                                <w:rFonts w:ascii="微软雅黑" w:hAnsi="微软雅黑" w:eastAsia="微软雅黑" w:cs="微软雅黑"/>
                                <w:color w:val="FFFFFF"/>
                                <w:sz w:val="52"/>
                                <w:szCs w:val="52"/>
                              </w:rPr>
                            </w:pPr>
                            <w:r>
                              <w:rPr>
                                <w:rFonts w:hint="eastAsia" w:ascii="微软雅黑" w:hAnsi="微软雅黑" w:eastAsia="微软雅黑" w:cs="微软雅黑"/>
                                <w:color w:val="FFFFFF"/>
                                <w:sz w:val="52"/>
                                <w:szCs w:val="72"/>
                              </w:rPr>
                              <w:t>版本号：V</w:t>
                            </w:r>
                            <w:r>
                              <w:rPr>
                                <w:rFonts w:hint="eastAsia" w:ascii="微软雅黑" w:hAnsi="微软雅黑" w:eastAsia="微软雅黑" w:cs="微软雅黑"/>
                                <w:color w:val="FFFFFF"/>
                                <w:sz w:val="52"/>
                                <w:szCs w:val="72"/>
                                <w:lang w:val="en-US" w:eastAsia="zh-CN"/>
                              </w:rPr>
                              <w:t>3</w:t>
                            </w:r>
                            <w:r>
                              <w:rPr>
                                <w:rFonts w:hint="eastAsia" w:ascii="微软雅黑" w:hAnsi="微软雅黑" w:eastAsia="微软雅黑" w:cs="微软雅黑"/>
                                <w:color w:val="FFFFFF"/>
                                <w:sz w:val="52"/>
                                <w:szCs w:val="72"/>
                              </w:rPr>
                              <w:t>.0</w:t>
                            </w:r>
                          </w:p>
                          <w:p w14:paraId="43626575"/>
                        </w:txbxContent>
                      </wps:txbx>
                      <wps:bodyPr rot="0" spcFirstLastPara="0" vertOverflow="overflow" horzOverflow="overflow" vert="horz" wrap="square" lIns="72000" tIns="36000" rIns="72000" bIns="36000" numCol="1" spcCol="0" rtlCol="0" fromWordArt="0" anchor="ctr" anchorCtr="0" forceAA="0" compatLnSpc="1">
                        <a:noAutofit/>
                      </wps:bodyPr>
                    </wps:wsp>
                  </a:graphicData>
                </a:graphic>
              </wp:anchor>
            </w:drawing>
          </mc:Choice>
          <mc:Fallback>
            <w:pict>
              <v:shape id="_x0000_s1026" o:spid="_x0000_s1026" o:spt="202" type="#_x0000_t202" style="position:absolute;left:0pt;margin-left:-66.8pt;margin-top:271.7pt;height:460.5pt;width:627.05pt;z-index:-251654144;v-text-anchor:middle;mso-width-relative:page;mso-height-relative:page;" fillcolor="#C00000" filled="t" stroked="f" coordsize="21600,21600" o:gfxdata="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haICD2wAAAA4B&#10;AAAPAAAAAAAAAAEAIAAAACIAAABkcnMvZG93bnJldi54bWxQSwECFAAUAAAACACHTuJAvwCOQooC&#10;AAD+BAAADgAAAAAAAAABACAAAAAqAQAAZHJzL2Uyb0RvYy54bWxQSwUGAAAAAAYABgBZAQAAJgYA&#10;AAAA&#10;">
                <v:fill on="t" focussize="0,0"/>
                <v:stroke on="f" weight="1pt" miterlimit="8" joinstyle="miter"/>
                <v:imagedata o:title=""/>
                <o:lock v:ext="edit" aspectratio="f"/>
                <v:textbox inset="2mm,1mm,2mm,1mm">
                  <w:txbxContent>
                    <w:p w14:paraId="6B7E7C1A">
                      <w:pPr>
                        <w:jc w:val="both"/>
                        <w:rPr>
                          <w:rFonts w:ascii="微软雅黑" w:hAnsi="微软雅黑" w:eastAsia="微软雅黑" w:cs="微软雅黑"/>
                          <w:b/>
                          <w:color w:val="FFFFFF"/>
                          <w:kern w:val="0"/>
                          <w:sz w:val="96"/>
                          <w:szCs w:val="96"/>
                        </w:rPr>
                      </w:pPr>
                      <w:r>
                        <w:rPr>
                          <w:rFonts w:hint="eastAsia" w:ascii="微软雅黑" w:hAnsi="微软雅黑" w:eastAsia="微软雅黑" w:cs="微软雅黑"/>
                          <w:b/>
                          <w:color w:val="FFFFFF"/>
                          <w:kern w:val="0"/>
                          <w:sz w:val="112"/>
                          <w:szCs w:val="112"/>
                          <w:lang w:eastAsia="zh-CN"/>
                        </w:rPr>
                        <w:t>保房法律服务</w:t>
                      </w:r>
                      <w:r>
                        <w:rPr>
                          <w:rFonts w:hint="eastAsia" w:ascii="微软雅黑" w:hAnsi="微软雅黑" w:eastAsia="微软雅黑" w:cs="微软雅黑"/>
                          <w:b/>
                          <w:color w:val="FFFFFF"/>
                          <w:kern w:val="0"/>
                          <w:sz w:val="112"/>
                          <w:szCs w:val="112"/>
                        </w:rPr>
                        <w:t>协议</w:t>
                      </w:r>
                    </w:p>
                    <w:p w14:paraId="5908E979">
                      <w:pPr>
                        <w:ind w:firstLine="5720" w:firstLineChars="1100"/>
                        <w:jc w:val="both"/>
                        <w:rPr>
                          <w:rFonts w:ascii="微软雅黑" w:hAnsi="微软雅黑" w:eastAsia="微软雅黑" w:cs="微软雅黑"/>
                          <w:color w:val="FFFFFF"/>
                          <w:sz w:val="52"/>
                          <w:szCs w:val="52"/>
                        </w:rPr>
                      </w:pPr>
                      <w:r>
                        <w:rPr>
                          <w:rFonts w:hint="eastAsia" w:ascii="微软雅黑" w:hAnsi="微软雅黑" w:eastAsia="微软雅黑" w:cs="微软雅黑"/>
                          <w:color w:val="FFFFFF"/>
                          <w:sz w:val="52"/>
                          <w:szCs w:val="72"/>
                        </w:rPr>
                        <w:t>版本号：V</w:t>
                      </w:r>
                      <w:r>
                        <w:rPr>
                          <w:rFonts w:hint="eastAsia" w:ascii="微软雅黑" w:hAnsi="微软雅黑" w:eastAsia="微软雅黑" w:cs="微软雅黑"/>
                          <w:color w:val="FFFFFF"/>
                          <w:sz w:val="52"/>
                          <w:szCs w:val="72"/>
                          <w:lang w:val="en-US" w:eastAsia="zh-CN"/>
                        </w:rPr>
                        <w:t>3</w:t>
                      </w:r>
                      <w:r>
                        <w:rPr>
                          <w:rFonts w:hint="eastAsia" w:ascii="微软雅黑" w:hAnsi="微软雅黑" w:eastAsia="微软雅黑" w:cs="微软雅黑"/>
                          <w:color w:val="FFFFFF"/>
                          <w:sz w:val="52"/>
                          <w:szCs w:val="72"/>
                        </w:rPr>
                        <w:t>.0</w:t>
                      </w:r>
                    </w:p>
                    <w:p w14:paraId="43626575"/>
                  </w:txbxContent>
                </v:textbox>
              </v:shape>
            </w:pict>
          </mc:Fallback>
        </mc:AlternateContent>
      </w:r>
      <w:r>
        <w:drawing>
          <wp:anchor distT="0" distB="0" distL="0" distR="0" simplePos="0" relativeHeight="251659264" behindDoc="1" locked="0" layoutInCell="1" allowOverlap="1">
            <wp:simplePos x="0" y="0"/>
            <wp:positionH relativeFrom="column">
              <wp:posOffset>-179070</wp:posOffset>
            </wp:positionH>
            <wp:positionV relativeFrom="paragraph">
              <wp:posOffset>-448945</wp:posOffset>
            </wp:positionV>
            <wp:extent cx="2125980" cy="588010"/>
            <wp:effectExtent l="0" t="0" r="7620" b="2540"/>
            <wp:wrapNone/>
            <wp:docPr id="1026" name="图片 7" descr="loge"/>
            <wp:cNvGraphicFramePr/>
            <a:graphic xmlns:a="http://schemas.openxmlformats.org/drawingml/2006/main">
              <a:graphicData uri="http://schemas.openxmlformats.org/drawingml/2006/picture">
                <pic:pic xmlns:pic="http://schemas.openxmlformats.org/drawingml/2006/picture">
                  <pic:nvPicPr>
                    <pic:cNvPr id="1026" name="图片 7" descr="loge"/>
                    <pic:cNvPicPr/>
                  </pic:nvPicPr>
                  <pic:blipFill>
                    <a:blip r:embed="rId9" cstate="print"/>
                    <a:srcRect/>
                    <a:stretch>
                      <a:fillRect/>
                    </a:stretch>
                  </pic:blipFill>
                  <pic:spPr>
                    <a:xfrm>
                      <a:off x="0" y="0"/>
                      <a:ext cx="2125980" cy="588010"/>
                    </a:xfrm>
                    <a:prstGeom prst="rect">
                      <a:avLst/>
                    </a:prstGeom>
                  </pic:spPr>
                </pic:pic>
              </a:graphicData>
            </a:graphic>
          </wp:anchor>
        </w:drawing>
      </w:r>
      <w:r>
        <w:rPr>
          <w:rFonts w:hint="eastAsia" w:ascii="微软雅黑" w:hAnsi="微软雅黑" w:eastAsia="微软雅黑" w:cs="微软雅黑"/>
          <w:b/>
          <w:kern w:val="0"/>
          <w:sz w:val="32"/>
          <w:szCs w:val="32"/>
        </w:rPr>
        <w:t>合同编号：</w:t>
      </w:r>
    </w:p>
    <w:p w14:paraId="5DC0C34A">
      <w:pPr>
        <w:bidi w:val="0"/>
        <w:rPr>
          <w:rFonts w:hint="eastAsia" w:ascii="微软雅黑" w:hAnsi="微软雅黑" w:eastAsia="微软雅黑" w:cs="微软雅黑"/>
          <w:b/>
          <w:bCs/>
          <w:sz w:val="44"/>
          <w:szCs w:val="44"/>
        </w:rPr>
        <w:sectPr>
          <w:headerReference r:id="rId5" w:type="default"/>
          <w:footerReference r:id="rId6" w:type="default"/>
          <w:pgSz w:w="11906" w:h="16838"/>
          <w:pgMar w:top="1213" w:right="1349" w:bottom="1043" w:left="1349" w:header="397" w:footer="454" w:gutter="0"/>
          <w:pgNumType w:fmt="decimal"/>
          <w:cols w:space="425" w:num="1"/>
          <w:titlePg/>
          <w:docGrid w:type="lines" w:linePitch="312" w:charSpace="0"/>
        </w:sectPr>
      </w:pPr>
      <w:r>
        <w:rPr>
          <w:rFonts w:ascii="Calibri" w:hAnsi="Calibri" w:eastAsia="宋体" w:cs="宋体"/>
          <w:kern w:val="2"/>
          <w:sz w:val="21"/>
          <w:szCs w:val="24"/>
          <w:lang w:val="en-US" w:eastAsia="zh-CN" w:bidi="ar-SA"/>
        </w:rPr>
        <w:drawing>
          <wp:anchor distT="0" distB="0" distL="0" distR="0" simplePos="0" relativeHeight="251660288" behindDoc="1" locked="0" layoutInCell="1" allowOverlap="1">
            <wp:simplePos x="0" y="0"/>
            <wp:positionH relativeFrom="column">
              <wp:posOffset>2711450</wp:posOffset>
            </wp:positionH>
            <wp:positionV relativeFrom="paragraph">
              <wp:posOffset>-1265555</wp:posOffset>
            </wp:positionV>
            <wp:extent cx="4010025" cy="5567680"/>
            <wp:effectExtent l="0" t="0" r="9525" b="13970"/>
            <wp:wrapNone/>
            <wp:docPr id="11" name="图片 8" descr="授权合作商形象指导"/>
            <wp:cNvGraphicFramePr/>
            <a:graphic xmlns:a="http://schemas.openxmlformats.org/drawingml/2006/main">
              <a:graphicData uri="http://schemas.openxmlformats.org/drawingml/2006/picture">
                <pic:pic xmlns:pic="http://schemas.openxmlformats.org/drawingml/2006/picture">
                  <pic:nvPicPr>
                    <pic:cNvPr id="11" name="图片 8" descr="授权合作商形象指导"/>
                    <pic:cNvPicPr/>
                  </pic:nvPicPr>
                  <pic:blipFill>
                    <a:blip r:embed="rId10" cstate="print"/>
                    <a:srcRect/>
                    <a:stretch>
                      <a:fillRect/>
                    </a:stretch>
                  </pic:blipFill>
                  <pic:spPr>
                    <a:xfrm>
                      <a:off x="0" y="0"/>
                      <a:ext cx="4010025" cy="5567680"/>
                    </a:xfrm>
                    <a:prstGeom prst="rect">
                      <a:avLst/>
                    </a:prstGeom>
                  </pic:spPr>
                </pic:pic>
              </a:graphicData>
            </a:graphic>
          </wp:anchor>
        </w:drawing>
      </w:r>
    </w:p>
    <w:p w14:paraId="065EDE58">
      <w:pPr>
        <w:jc w:val="center"/>
        <w:rPr>
          <w:rFonts w:hint="eastAsia" w:ascii="微软雅黑" w:hAnsi="微软雅黑" w:eastAsia="微软雅黑" w:cs="微软雅黑"/>
          <w:b/>
          <w:bCs/>
          <w:sz w:val="52"/>
          <w:szCs w:val="52"/>
        </w:rPr>
      </w:pPr>
      <w:r>
        <w:rPr>
          <w:rFonts w:hint="eastAsia" w:ascii="微软雅黑" w:hAnsi="微软雅黑" w:eastAsia="微软雅黑" w:cs="微软雅黑"/>
          <w:b/>
          <w:bCs/>
          <w:sz w:val="52"/>
          <w:szCs w:val="52"/>
        </w:rPr>
        <w:t>保房法律服务协议</w:t>
      </w:r>
    </w:p>
    <w:p w14:paraId="578ADEEF">
      <w:pPr>
        <w:rPr>
          <w:rFonts w:hint="eastAsia" w:ascii="仿宋" w:hAnsi="仿宋" w:eastAsia="仿宋" w:cs="仿宋"/>
          <w:sz w:val="28"/>
          <w:szCs w:val="28"/>
        </w:rPr>
      </w:pPr>
    </w:p>
    <w:p w14:paraId="215A82C5">
      <w:pPr>
        <w:rPr>
          <w:rFonts w:hint="eastAsia" w:ascii="仿宋" w:hAnsi="仿宋" w:eastAsia="仿宋" w:cs="仿宋"/>
          <w:b/>
          <w:bCs/>
          <w:sz w:val="28"/>
          <w:szCs w:val="28"/>
        </w:rPr>
      </w:pPr>
      <w:r>
        <w:rPr>
          <w:rFonts w:hint="eastAsia" w:ascii="仿宋" w:hAnsi="仿宋" w:eastAsia="仿宋" w:cs="仿宋"/>
          <w:b/>
          <w:bCs/>
          <w:sz w:val="28"/>
          <w:szCs w:val="28"/>
        </w:rPr>
        <w:t>甲方（委托人）：</w:t>
      </w:r>
    </w:p>
    <w:p w14:paraId="49482575">
      <w:pPr>
        <w:rPr>
          <w:rFonts w:hint="eastAsia" w:ascii="仿宋" w:hAnsi="仿宋" w:eastAsia="仿宋" w:cs="仿宋"/>
          <w:b/>
          <w:bCs/>
          <w:sz w:val="28"/>
          <w:szCs w:val="28"/>
        </w:rPr>
      </w:pPr>
      <w:r>
        <w:rPr>
          <w:rFonts w:hint="eastAsia" w:ascii="仿宋" w:hAnsi="仿宋" w:eastAsia="仿宋" w:cs="仿宋"/>
          <w:b/>
          <w:bCs/>
          <w:sz w:val="28"/>
          <w:szCs w:val="28"/>
        </w:rPr>
        <w:t>身份证号/统一社会信用代码：</w:t>
      </w:r>
    </w:p>
    <w:p w14:paraId="2CFAE870">
      <w:pPr>
        <w:rPr>
          <w:rFonts w:hint="eastAsia" w:ascii="仿宋" w:hAnsi="仿宋" w:eastAsia="仿宋" w:cs="仿宋"/>
          <w:b/>
          <w:bCs/>
          <w:sz w:val="28"/>
          <w:szCs w:val="28"/>
        </w:rPr>
      </w:pPr>
      <w:r>
        <w:rPr>
          <w:rFonts w:hint="eastAsia" w:ascii="仿宋" w:hAnsi="仿宋" w:eastAsia="仿宋" w:cs="仿宋"/>
          <w:b/>
          <w:bCs/>
          <w:sz w:val="28"/>
          <w:szCs w:val="28"/>
        </w:rPr>
        <w:t>送达地址：</w:t>
      </w:r>
    </w:p>
    <w:p w14:paraId="36DAB8CE">
      <w:pPr>
        <w:rPr>
          <w:rFonts w:hint="eastAsia" w:ascii="仿宋" w:hAnsi="仿宋" w:eastAsia="仿宋" w:cs="仿宋"/>
          <w:b/>
          <w:bCs/>
          <w:sz w:val="28"/>
          <w:szCs w:val="28"/>
        </w:rPr>
      </w:pPr>
    </w:p>
    <w:p w14:paraId="51CDBF4A">
      <w:pPr>
        <w:rPr>
          <w:rFonts w:hint="eastAsia" w:ascii="仿宋" w:hAnsi="仿宋" w:eastAsia="仿宋" w:cs="仿宋"/>
          <w:b/>
          <w:bCs/>
          <w:sz w:val="28"/>
          <w:szCs w:val="28"/>
        </w:rPr>
      </w:pPr>
      <w:r>
        <w:rPr>
          <w:rFonts w:hint="eastAsia" w:ascii="仿宋" w:hAnsi="仿宋" w:eastAsia="仿宋" w:cs="仿宋"/>
          <w:b/>
          <w:bCs/>
          <w:sz w:val="28"/>
          <w:szCs w:val="28"/>
        </w:rPr>
        <w:t>乙方（受托人）：海南银侨投资有限公司</w:t>
      </w:r>
    </w:p>
    <w:p w14:paraId="239CE643">
      <w:pPr>
        <w:rPr>
          <w:rFonts w:hint="eastAsia" w:ascii="仿宋" w:hAnsi="仿宋" w:eastAsia="仿宋" w:cs="仿宋"/>
          <w:sz w:val="28"/>
          <w:szCs w:val="28"/>
        </w:rPr>
      </w:pPr>
      <w:r>
        <w:rPr>
          <w:rFonts w:hint="eastAsia" w:ascii="仿宋" w:hAnsi="仿宋" w:eastAsia="仿宋" w:cs="仿宋"/>
          <w:b/>
          <w:bCs/>
          <w:sz w:val="28"/>
          <w:szCs w:val="28"/>
        </w:rPr>
        <w:t>送达地址：河南省郑州市金水区省汇中心A座5楼</w:t>
      </w:r>
    </w:p>
    <w:p w14:paraId="2AF1479E">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鉴于：</w:t>
      </w:r>
    </w:p>
    <w:p w14:paraId="16C8080D">
      <w:pPr>
        <w:rPr>
          <w:rFonts w:hint="eastAsia" w:ascii="仿宋" w:hAnsi="仿宋" w:eastAsia="仿宋" w:cs="仿宋"/>
          <w:sz w:val="28"/>
          <w:szCs w:val="28"/>
        </w:rPr>
      </w:pPr>
      <w:r>
        <w:rPr>
          <w:rFonts w:hint="eastAsia" w:ascii="仿宋" w:hAnsi="仿宋" w:eastAsia="仿宋" w:cs="仿宋"/>
          <w:sz w:val="28"/>
          <w:szCs w:val="28"/>
        </w:rPr>
        <w:t>甲方因名下房产（下称“案涉房屋”）涉及按揭断供或抵押贷款断息，面临债权人催收、诉讼及司法执行风险，为维护自身合法权益，特委托乙方提供相关法律事务咨询与协调服务。根据《中华人民共和国民法典》等相关法律法规，经双方协商一致，订立本合同。</w:t>
      </w:r>
    </w:p>
    <w:p w14:paraId="76BD6FED">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第一条 服务内容与方式</w:t>
      </w:r>
    </w:p>
    <w:p w14:paraId="7FC1590B">
      <w:pPr>
        <w:rPr>
          <w:rFonts w:hint="eastAsia" w:ascii="仿宋" w:hAnsi="仿宋" w:eastAsia="仿宋" w:cs="仿宋"/>
          <w:sz w:val="28"/>
          <w:szCs w:val="28"/>
        </w:rPr>
      </w:pPr>
      <w:r>
        <w:rPr>
          <w:rFonts w:hint="eastAsia" w:ascii="仿宋" w:hAnsi="仿宋" w:eastAsia="仿宋" w:cs="仿宋"/>
          <w:sz w:val="28"/>
          <w:szCs w:val="28"/>
        </w:rPr>
        <w:t>1.1 乙方接受甲方委托，为甲方提供与案涉房屋相关的法律事务咨询、方案指导及协调服务，具体包括：</w:t>
      </w:r>
    </w:p>
    <w:p w14:paraId="4D1530D3">
      <w:pPr>
        <w:rPr>
          <w:rFonts w:hint="eastAsia" w:ascii="仿宋" w:hAnsi="仿宋" w:eastAsia="仿宋" w:cs="仿宋"/>
          <w:sz w:val="28"/>
          <w:szCs w:val="28"/>
        </w:rPr>
      </w:pPr>
      <w:r>
        <w:rPr>
          <w:rFonts w:hint="eastAsia" w:ascii="仿宋" w:hAnsi="仿宋" w:eastAsia="仿宋" w:cs="仿宋"/>
          <w:sz w:val="28"/>
          <w:szCs w:val="28"/>
        </w:rPr>
        <w:t>(1) 提供法律与财务风险评估分析；</w:t>
      </w:r>
    </w:p>
    <w:p w14:paraId="40D4D2D4">
      <w:pPr>
        <w:rPr>
          <w:rFonts w:hint="eastAsia" w:ascii="仿宋" w:hAnsi="仿宋" w:eastAsia="仿宋" w:cs="仿宋"/>
          <w:sz w:val="28"/>
          <w:szCs w:val="28"/>
        </w:rPr>
      </w:pPr>
      <w:r>
        <w:rPr>
          <w:rFonts w:hint="eastAsia" w:ascii="仿宋" w:hAnsi="仿宋" w:eastAsia="仿宋" w:cs="仿宋"/>
          <w:sz w:val="28"/>
          <w:szCs w:val="28"/>
        </w:rPr>
        <w:t>(2) 指导甲方与银行等债权人进行债务协商（如展期、利率调整等）；</w:t>
      </w:r>
    </w:p>
    <w:p w14:paraId="41DDC706">
      <w:pPr>
        <w:rPr>
          <w:rFonts w:hint="eastAsia" w:ascii="仿宋" w:hAnsi="仿宋" w:eastAsia="仿宋" w:cs="仿宋"/>
          <w:sz w:val="28"/>
          <w:szCs w:val="28"/>
        </w:rPr>
      </w:pPr>
      <w:r>
        <w:rPr>
          <w:rFonts w:hint="eastAsia" w:ascii="仿宋" w:hAnsi="仿宋" w:eastAsia="仿宋" w:cs="仿宋"/>
          <w:sz w:val="28"/>
          <w:szCs w:val="28"/>
        </w:rPr>
        <w:t>(3) 提供应对非法或不规范催收的建议；</w:t>
      </w:r>
    </w:p>
    <w:p w14:paraId="0ADCAB5C">
      <w:pPr>
        <w:rPr>
          <w:rFonts w:hint="eastAsia" w:ascii="仿宋" w:hAnsi="仿宋" w:eastAsia="仿宋" w:cs="仿宋"/>
          <w:sz w:val="28"/>
          <w:szCs w:val="28"/>
        </w:rPr>
      </w:pPr>
      <w:r>
        <w:rPr>
          <w:rFonts w:hint="eastAsia" w:ascii="仿宋" w:hAnsi="仿宋" w:eastAsia="仿宋" w:cs="仿宋"/>
          <w:sz w:val="28"/>
          <w:szCs w:val="28"/>
        </w:rPr>
        <w:t>(4) 在甲方涉及诉讼时，提供诉讼流程指导及法律文书（如答辩状、执行异议申请书等）的撰写指引；</w:t>
      </w:r>
    </w:p>
    <w:p w14:paraId="1B06BD21">
      <w:pPr>
        <w:rPr>
          <w:rFonts w:hint="eastAsia" w:ascii="仿宋" w:hAnsi="仿宋" w:eastAsia="仿宋" w:cs="仿宋"/>
          <w:sz w:val="28"/>
          <w:szCs w:val="28"/>
        </w:rPr>
      </w:pPr>
      <w:r>
        <w:rPr>
          <w:rFonts w:hint="eastAsia" w:ascii="仿宋" w:hAnsi="仿宋" w:eastAsia="仿宋" w:cs="仿宋"/>
          <w:sz w:val="28"/>
          <w:szCs w:val="28"/>
        </w:rPr>
        <w:t>(5) 在案涉房屋进入司法拍卖程序时，提供相关流程咨询及申请延期拍卖的指导；</w:t>
      </w:r>
    </w:p>
    <w:p w14:paraId="06185009">
      <w:pPr>
        <w:rPr>
          <w:rFonts w:hint="eastAsia" w:ascii="仿宋" w:hAnsi="仿宋" w:eastAsia="仿宋" w:cs="仿宋"/>
          <w:sz w:val="28"/>
          <w:szCs w:val="28"/>
        </w:rPr>
      </w:pPr>
      <w:r>
        <w:rPr>
          <w:rFonts w:hint="eastAsia" w:ascii="仿宋" w:hAnsi="仿宋" w:eastAsia="仿宋" w:cs="仿宋"/>
          <w:sz w:val="28"/>
          <w:szCs w:val="28"/>
        </w:rPr>
        <w:t>(6) 在案涉房屋司法拍卖成交后，指导甲方申请唯一住房补贴（如适用）。</w:t>
      </w:r>
    </w:p>
    <w:p w14:paraId="3F7967C9">
      <w:pPr>
        <w:rPr>
          <w:rFonts w:hint="eastAsia" w:ascii="仿宋" w:hAnsi="仿宋" w:eastAsia="仿宋" w:cs="仿宋"/>
          <w:sz w:val="28"/>
          <w:szCs w:val="28"/>
        </w:rPr>
      </w:pPr>
      <w:r>
        <w:rPr>
          <w:rFonts w:hint="eastAsia" w:ascii="仿宋" w:hAnsi="仿宋" w:eastAsia="仿宋" w:cs="仿宋"/>
          <w:sz w:val="28"/>
          <w:szCs w:val="28"/>
        </w:rPr>
        <w:t>1.2 乙方提供服务的方式主要为线上沟通（包括电话、电子邮件、即时通讯软件等）。如需乙方协调安排合作律师提供线下出庭、现场谈判等服务的，双方需另行签订补充协议并支付额外费用。</w:t>
      </w:r>
    </w:p>
    <w:p w14:paraId="5BD66D58">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第二条 整体服务安排</w:t>
      </w:r>
    </w:p>
    <w:p w14:paraId="258E47BD">
      <w:pPr>
        <w:rPr>
          <w:rFonts w:hint="eastAsia" w:ascii="仿宋" w:hAnsi="仿宋" w:eastAsia="仿宋" w:cs="仿宋"/>
          <w:sz w:val="28"/>
          <w:szCs w:val="28"/>
        </w:rPr>
      </w:pPr>
      <w:r>
        <w:rPr>
          <w:rFonts w:hint="eastAsia" w:ascii="仿宋" w:hAnsi="仿宋" w:eastAsia="仿宋" w:cs="仿宋"/>
          <w:sz w:val="28"/>
          <w:szCs w:val="28"/>
        </w:rPr>
        <w:t>2.1 双方确认，乙方为甲方提供的“保房”整体解决方案，可能包括法律事务咨询、协调服务（下称“法律服务”）以及为参与司法拍卖提供的融资支持服务（下称“配资服务”）两部分。</w:t>
      </w:r>
    </w:p>
    <w:p w14:paraId="6C08F3F4">
      <w:pPr>
        <w:rPr>
          <w:rFonts w:hint="eastAsia" w:ascii="仿宋" w:hAnsi="仿宋" w:eastAsia="仿宋" w:cs="仿宋"/>
          <w:sz w:val="28"/>
          <w:szCs w:val="28"/>
        </w:rPr>
      </w:pPr>
      <w:r>
        <w:rPr>
          <w:rFonts w:hint="eastAsia" w:ascii="仿宋" w:hAnsi="仿宋" w:eastAsia="仿宋" w:cs="仿宋"/>
          <w:sz w:val="28"/>
          <w:szCs w:val="28"/>
        </w:rPr>
        <w:t>2.2 本合同旨在约定前述“法律服务”部分的权利义务。若甲方有“配资服务”需求，应与乙方另行签订独立的《保房配资参拍服务协议》。</w:t>
      </w:r>
    </w:p>
    <w:p w14:paraId="635269AF">
      <w:pPr>
        <w:rPr>
          <w:rFonts w:hint="eastAsia" w:ascii="仿宋" w:hAnsi="仿宋" w:eastAsia="仿宋" w:cs="仿宋"/>
          <w:sz w:val="28"/>
          <w:szCs w:val="28"/>
        </w:rPr>
      </w:pPr>
      <w:r>
        <w:rPr>
          <w:rFonts w:hint="eastAsia" w:ascii="仿宋" w:hAnsi="仿宋" w:eastAsia="仿宋" w:cs="仿宋"/>
          <w:sz w:val="28"/>
          <w:szCs w:val="28"/>
        </w:rPr>
        <w:t>2.3 尽管分为两份独立合同，甲方理解并同意，乙方提供“法律服务”（尤其是进入拍卖阶段的指导）是评估及后续可能开展“配资服务”的重要前提和基础。但甲方签署本合同，并不自动构成乙方有义务必须提供配资服务，配资服务的提供与否及具体条件由乙方独立审核决定，并以后续签订的协议为准。</w:t>
      </w:r>
    </w:p>
    <w:p w14:paraId="742DA2C0">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第三条 服务费用与支付</w:t>
      </w:r>
    </w:p>
    <w:p w14:paraId="375066A8">
      <w:pPr>
        <w:rPr>
          <w:rFonts w:hint="eastAsia" w:ascii="仿宋" w:hAnsi="仿宋" w:eastAsia="仿宋" w:cs="仿宋"/>
          <w:sz w:val="28"/>
          <w:szCs w:val="28"/>
        </w:rPr>
      </w:pPr>
      <w:r>
        <w:rPr>
          <w:rFonts w:hint="eastAsia" w:ascii="仿宋" w:hAnsi="仿宋" w:eastAsia="仿宋" w:cs="仿宋"/>
          <w:sz w:val="28"/>
          <w:szCs w:val="28"/>
        </w:rPr>
        <w:t>3.1 本合同服务费采取“建档费+月度服务费”模式，具体标准根据甲方签约时案涉房屋所处阶段确定：</w:t>
      </w:r>
    </w:p>
    <w:p w14:paraId="37F6083A">
      <w:pPr>
        <w:rPr>
          <w:rFonts w:hint="eastAsia" w:ascii="仿宋" w:hAnsi="仿宋" w:eastAsia="仿宋" w:cs="仿宋"/>
          <w:sz w:val="28"/>
          <w:szCs w:val="28"/>
        </w:rPr>
      </w:pPr>
      <w:r>
        <w:rPr>
          <w:rFonts w:hint="eastAsia" w:ascii="仿宋" w:hAnsi="仿宋" w:eastAsia="仿宋" w:cs="仿宋"/>
          <w:sz w:val="28"/>
          <w:szCs w:val="28"/>
        </w:rPr>
        <w:t>阶段一（未开庭）： 建档费980元，月度服务费1000元/月。</w:t>
      </w:r>
    </w:p>
    <w:p w14:paraId="255D25C0">
      <w:pPr>
        <w:rPr>
          <w:rFonts w:hint="eastAsia" w:ascii="仿宋" w:hAnsi="仿宋" w:eastAsia="仿宋" w:cs="仿宋"/>
          <w:sz w:val="28"/>
          <w:szCs w:val="28"/>
        </w:rPr>
      </w:pPr>
      <w:r>
        <w:rPr>
          <w:rFonts w:hint="eastAsia" w:ascii="仿宋" w:hAnsi="仿宋" w:eastAsia="仿宋" w:cs="仿宋"/>
          <w:sz w:val="28"/>
          <w:szCs w:val="28"/>
        </w:rPr>
        <w:t>阶段二（已开庭未拍卖）： 建档费3980元，月度服务费1000元/月。</w:t>
      </w:r>
    </w:p>
    <w:p w14:paraId="522D2D57">
      <w:pPr>
        <w:rPr>
          <w:rFonts w:hint="eastAsia" w:ascii="仿宋" w:hAnsi="仿宋" w:eastAsia="仿宋" w:cs="仿宋"/>
          <w:sz w:val="28"/>
          <w:szCs w:val="28"/>
        </w:rPr>
      </w:pPr>
      <w:r>
        <w:rPr>
          <w:rFonts w:hint="eastAsia" w:ascii="仿宋" w:hAnsi="仿宋" w:eastAsia="仿宋" w:cs="仿宋"/>
          <w:sz w:val="28"/>
          <w:szCs w:val="28"/>
        </w:rPr>
        <w:t>阶段三（已进入拍卖程序）： 建档费6980元，月度服务费1000元/月。</w:t>
      </w:r>
    </w:p>
    <w:p w14:paraId="651ED499">
      <w:pPr>
        <w:rPr>
          <w:rFonts w:hint="eastAsia" w:ascii="仿宋" w:hAnsi="仿宋" w:eastAsia="仿宋" w:cs="仿宋"/>
          <w:sz w:val="28"/>
          <w:szCs w:val="28"/>
        </w:rPr>
      </w:pPr>
      <w:r>
        <w:rPr>
          <w:rFonts w:hint="eastAsia" w:ascii="仿宋" w:hAnsi="仿宋" w:eastAsia="仿宋" w:cs="仿宋"/>
          <w:sz w:val="28"/>
          <w:szCs w:val="28"/>
        </w:rPr>
        <w:t>甲方确认，签约时案涉房屋处于第____阶段。</w:t>
      </w:r>
    </w:p>
    <w:p w14:paraId="778B0C65">
      <w:pPr>
        <w:rPr>
          <w:rFonts w:hint="eastAsia" w:ascii="仿宋" w:hAnsi="仿宋" w:eastAsia="仿宋" w:cs="仿宋"/>
          <w:sz w:val="28"/>
          <w:szCs w:val="28"/>
        </w:rPr>
      </w:pPr>
      <w:r>
        <w:rPr>
          <w:rFonts w:hint="eastAsia" w:ascii="仿宋" w:hAnsi="仿宋" w:eastAsia="仿宋" w:cs="仿宋"/>
          <w:sz w:val="28"/>
          <w:szCs w:val="28"/>
        </w:rPr>
        <w:t>3.2 支付方式：本合同签订当日，甲方应一次性支付首期费用（含建档费及6个月月度服务费），共计人民币________元。后续月度服务费应于每月________日前支付。</w:t>
      </w:r>
    </w:p>
    <w:p w14:paraId="66F800E4">
      <w:pPr>
        <w:rPr>
          <w:rFonts w:hint="eastAsia" w:ascii="仿宋" w:hAnsi="仿宋" w:eastAsia="仿宋" w:cs="仿宋"/>
          <w:sz w:val="28"/>
          <w:szCs w:val="28"/>
        </w:rPr>
      </w:pPr>
      <w:r>
        <w:rPr>
          <w:rFonts w:hint="eastAsia" w:ascii="仿宋" w:hAnsi="仿宋" w:eastAsia="仿宋" w:cs="仿宋"/>
          <w:sz w:val="28"/>
          <w:szCs w:val="28"/>
        </w:rPr>
        <w:t>3.3 乙方收款账户信息：</w:t>
      </w:r>
    </w:p>
    <w:p w14:paraId="45C9E28B">
      <w:pPr>
        <w:rPr>
          <w:rFonts w:hint="eastAsia" w:ascii="仿宋" w:hAnsi="仿宋" w:eastAsia="仿宋" w:cs="仿宋"/>
          <w:sz w:val="28"/>
          <w:szCs w:val="28"/>
        </w:rPr>
      </w:pPr>
      <w:r>
        <w:rPr>
          <w:rFonts w:hint="eastAsia" w:ascii="仿宋" w:hAnsi="仿宋" w:eastAsia="仿宋" w:cs="仿宋"/>
          <w:sz w:val="28"/>
          <w:szCs w:val="28"/>
        </w:rPr>
        <w:t>开户名：海南银侨投资有限公司</w:t>
      </w:r>
    </w:p>
    <w:p w14:paraId="62981434">
      <w:pPr>
        <w:rPr>
          <w:rFonts w:hint="eastAsia" w:ascii="仿宋" w:hAnsi="仿宋" w:eastAsia="仿宋" w:cs="仿宋"/>
          <w:sz w:val="28"/>
          <w:szCs w:val="28"/>
        </w:rPr>
      </w:pPr>
      <w:r>
        <w:rPr>
          <w:rFonts w:hint="eastAsia" w:ascii="仿宋" w:hAnsi="仿宋" w:eastAsia="仿宋" w:cs="仿宋"/>
          <w:sz w:val="28"/>
          <w:szCs w:val="28"/>
        </w:rPr>
        <w:t>开户行：招商银行郑州农业路支行</w:t>
      </w:r>
    </w:p>
    <w:p w14:paraId="0F1637DF">
      <w:pPr>
        <w:rPr>
          <w:rFonts w:hint="eastAsia" w:ascii="仿宋" w:hAnsi="仿宋" w:eastAsia="仿宋" w:cs="仿宋"/>
          <w:sz w:val="28"/>
          <w:szCs w:val="28"/>
        </w:rPr>
      </w:pPr>
      <w:r>
        <w:rPr>
          <w:rFonts w:hint="eastAsia" w:ascii="仿宋" w:hAnsi="仿宋" w:eastAsia="仿宋" w:cs="仿宋"/>
          <w:sz w:val="28"/>
          <w:szCs w:val="28"/>
        </w:rPr>
        <w:t>账　号：371910199510001</w:t>
      </w:r>
    </w:p>
    <w:p w14:paraId="18D7B6C9">
      <w:pPr>
        <w:rPr>
          <w:rFonts w:hint="eastAsia" w:ascii="仿宋" w:hAnsi="仿宋" w:eastAsia="仿宋" w:cs="仿宋"/>
          <w:sz w:val="28"/>
          <w:szCs w:val="28"/>
        </w:rPr>
      </w:pPr>
      <w:r>
        <w:rPr>
          <w:rFonts w:hint="eastAsia" w:ascii="仿宋" w:hAnsi="仿宋" w:eastAsia="仿宋" w:cs="仿宋"/>
          <w:sz w:val="28"/>
          <w:szCs w:val="28"/>
        </w:rPr>
        <w:t>除双方书面变更外，向其他账户支付均不视为履行本合同。</w:t>
      </w:r>
    </w:p>
    <w:p w14:paraId="4D18BE2A">
      <w:pPr>
        <w:rPr>
          <w:rFonts w:hint="eastAsia" w:ascii="仿宋" w:hAnsi="仿宋" w:eastAsia="仿宋" w:cs="仿宋"/>
          <w:sz w:val="28"/>
          <w:szCs w:val="28"/>
        </w:rPr>
      </w:pPr>
      <w:r>
        <w:rPr>
          <w:rFonts w:hint="eastAsia" w:ascii="仿宋" w:hAnsi="仿宋" w:eastAsia="仿宋" w:cs="仿宋"/>
          <w:sz w:val="28"/>
          <w:szCs w:val="28"/>
        </w:rPr>
        <w:t>3.4 费用说明：</w:t>
      </w:r>
    </w:p>
    <w:p w14:paraId="7E2D7C65">
      <w:pPr>
        <w:rPr>
          <w:rFonts w:hint="eastAsia" w:ascii="仿宋" w:hAnsi="仿宋" w:eastAsia="仿宋" w:cs="仿宋"/>
          <w:sz w:val="28"/>
          <w:szCs w:val="28"/>
        </w:rPr>
      </w:pPr>
      <w:r>
        <w:rPr>
          <w:rFonts w:hint="eastAsia" w:ascii="仿宋" w:hAnsi="仿宋" w:eastAsia="仿宋" w:cs="仿宋"/>
          <w:sz w:val="28"/>
          <w:szCs w:val="28"/>
        </w:rPr>
        <w:t>(1) 建档费系用于启动服务、建立档案及初步评估的成本，除因乙方原因导致合同解除或终止外，一经支付，不予退还。</w:t>
      </w:r>
    </w:p>
    <w:p w14:paraId="21E1A4E3">
      <w:pPr>
        <w:rPr>
          <w:rFonts w:hint="eastAsia" w:ascii="仿宋" w:hAnsi="仿宋" w:eastAsia="仿宋" w:cs="仿宋"/>
          <w:sz w:val="28"/>
          <w:szCs w:val="28"/>
        </w:rPr>
      </w:pPr>
      <w:r>
        <w:rPr>
          <w:rFonts w:hint="eastAsia" w:ascii="仿宋" w:hAnsi="仿宋" w:eastAsia="仿宋" w:cs="仿宋"/>
          <w:sz w:val="28"/>
          <w:szCs w:val="28"/>
        </w:rPr>
        <w:t>(2) 本合同费用已包含乙方进行一般性协调、咨询的成本。但诉讼费、保全费、鉴定费、评估费等需向第三方机构支付的费用，仍由甲方自行承担。</w:t>
      </w:r>
    </w:p>
    <w:p w14:paraId="22DC5EED">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第四条 服务期限与终止</w:t>
      </w:r>
    </w:p>
    <w:p w14:paraId="30433A19">
      <w:pPr>
        <w:rPr>
          <w:rFonts w:hint="eastAsia" w:ascii="仿宋" w:hAnsi="仿宋" w:eastAsia="仿宋" w:cs="仿宋"/>
          <w:sz w:val="28"/>
          <w:szCs w:val="28"/>
        </w:rPr>
      </w:pPr>
      <w:r>
        <w:rPr>
          <w:rFonts w:hint="eastAsia" w:ascii="仿宋" w:hAnsi="仿宋" w:eastAsia="仿宋" w:cs="仿宋"/>
          <w:sz w:val="28"/>
          <w:szCs w:val="28"/>
        </w:rPr>
        <w:t>4.1 本合同服务期限自________年____月____日起至________年____月____日止，共计____个月。</w:t>
      </w:r>
    </w:p>
    <w:p w14:paraId="39A63980">
      <w:pPr>
        <w:rPr>
          <w:rFonts w:hint="eastAsia" w:ascii="仿宋" w:hAnsi="仿宋" w:eastAsia="仿宋" w:cs="仿宋"/>
          <w:sz w:val="28"/>
          <w:szCs w:val="28"/>
        </w:rPr>
      </w:pPr>
      <w:r>
        <w:rPr>
          <w:rFonts w:hint="eastAsia" w:ascii="仿宋" w:hAnsi="仿宋" w:eastAsia="仿宋" w:cs="仿宋"/>
          <w:sz w:val="28"/>
          <w:szCs w:val="28"/>
        </w:rPr>
        <w:t>4.2 出现下列情形之一，本合同终止：</w:t>
      </w:r>
    </w:p>
    <w:p w14:paraId="61C22CF9">
      <w:pPr>
        <w:rPr>
          <w:rFonts w:hint="eastAsia" w:ascii="仿宋" w:hAnsi="仿宋" w:eastAsia="仿宋" w:cs="仿宋"/>
          <w:sz w:val="28"/>
          <w:szCs w:val="28"/>
        </w:rPr>
      </w:pPr>
      <w:r>
        <w:rPr>
          <w:rFonts w:hint="eastAsia" w:ascii="仿宋" w:hAnsi="仿宋" w:eastAsia="仿宋" w:cs="仿宋"/>
          <w:sz w:val="28"/>
          <w:szCs w:val="28"/>
        </w:rPr>
        <w:t>(1) 服务期限届满；</w:t>
      </w:r>
    </w:p>
    <w:p w14:paraId="700F527F">
      <w:pPr>
        <w:rPr>
          <w:rFonts w:hint="eastAsia" w:ascii="仿宋" w:hAnsi="仿宋" w:eastAsia="仿宋" w:cs="仿宋"/>
          <w:sz w:val="28"/>
          <w:szCs w:val="28"/>
        </w:rPr>
      </w:pPr>
      <w:r>
        <w:rPr>
          <w:rFonts w:hint="eastAsia" w:ascii="仿宋" w:hAnsi="仿宋" w:eastAsia="仿宋" w:cs="仿宋"/>
          <w:sz w:val="28"/>
          <w:szCs w:val="28"/>
        </w:rPr>
        <w:t>(2) 案涉房屋相关法律事务已处理完毕；</w:t>
      </w:r>
    </w:p>
    <w:p w14:paraId="5991CAC5">
      <w:pPr>
        <w:rPr>
          <w:rFonts w:hint="eastAsia" w:ascii="仿宋" w:hAnsi="仿宋" w:eastAsia="仿宋" w:cs="仿宋"/>
          <w:sz w:val="28"/>
          <w:szCs w:val="28"/>
        </w:rPr>
      </w:pPr>
      <w:r>
        <w:rPr>
          <w:rFonts w:hint="eastAsia" w:ascii="仿宋" w:hAnsi="仿宋" w:eastAsia="仿宋" w:cs="仿宋"/>
          <w:sz w:val="28"/>
          <w:szCs w:val="28"/>
        </w:rPr>
        <w:t>(3) 双方协商一致书面解除；</w:t>
      </w:r>
    </w:p>
    <w:p w14:paraId="0146E9E9">
      <w:pPr>
        <w:rPr>
          <w:rFonts w:hint="eastAsia" w:ascii="仿宋" w:hAnsi="仿宋" w:eastAsia="仿宋" w:cs="仿宋"/>
          <w:sz w:val="28"/>
          <w:szCs w:val="28"/>
        </w:rPr>
      </w:pPr>
      <w:r>
        <w:rPr>
          <w:rFonts w:hint="eastAsia" w:ascii="仿宋" w:hAnsi="仿宋" w:eastAsia="仿宋" w:cs="仿宋"/>
          <w:sz w:val="28"/>
          <w:szCs w:val="28"/>
        </w:rPr>
        <w:t>(4) 甲方单方要求终止服务或甲方未按照上述付款期限付费且逾期超过七日的。</w:t>
      </w:r>
    </w:p>
    <w:p w14:paraId="1C1F6387">
      <w:pPr>
        <w:rPr>
          <w:rFonts w:hint="eastAsia" w:ascii="仿宋" w:hAnsi="仿宋" w:eastAsia="仿宋" w:cs="仿宋"/>
          <w:sz w:val="28"/>
          <w:szCs w:val="28"/>
        </w:rPr>
      </w:pPr>
      <w:r>
        <w:rPr>
          <w:rFonts w:hint="eastAsia" w:ascii="仿宋" w:hAnsi="仿宋" w:eastAsia="仿宋" w:cs="仿宋"/>
          <w:sz w:val="28"/>
          <w:szCs w:val="28"/>
        </w:rPr>
        <w:t>4.3 合同终止后，乙方将根据已实际提供服务的时间结算费用（建档费不退），剩余未发生的月度服务费无息退还甲方。</w:t>
      </w:r>
    </w:p>
    <w:p w14:paraId="03201694">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第五条 特别约定</w:t>
      </w:r>
    </w:p>
    <w:p w14:paraId="62F31A36">
      <w:pPr>
        <w:rPr>
          <w:rFonts w:hint="eastAsia" w:ascii="仿宋" w:hAnsi="仿宋" w:eastAsia="仿宋" w:cs="仿宋"/>
          <w:sz w:val="28"/>
          <w:szCs w:val="28"/>
        </w:rPr>
      </w:pPr>
      <w:r>
        <w:rPr>
          <w:rFonts w:hint="eastAsia" w:ascii="仿宋" w:hAnsi="仿宋" w:eastAsia="仿宋" w:cs="仿宋"/>
          <w:sz w:val="28"/>
          <w:szCs w:val="28"/>
        </w:rPr>
        <w:t>5.1 服务成果确认：若在服务期内，经乙方指导，甲方与债权人达成债务分期、延期履行等书面解决方案，视为乙方核心服务目标已取得实质性进展，已收取费用不予退还。</w:t>
      </w:r>
    </w:p>
    <w:p w14:paraId="3047F110">
      <w:pPr>
        <w:rPr>
          <w:rFonts w:hint="eastAsia" w:ascii="仿宋" w:hAnsi="仿宋" w:eastAsia="仿宋" w:cs="仿宋"/>
          <w:sz w:val="28"/>
          <w:szCs w:val="28"/>
        </w:rPr>
      </w:pPr>
      <w:r>
        <w:rPr>
          <w:rFonts w:hint="eastAsia" w:ascii="仿宋" w:hAnsi="仿宋" w:eastAsia="仿宋" w:cs="仿宋"/>
          <w:sz w:val="28"/>
          <w:szCs w:val="28"/>
        </w:rPr>
        <w:t>5.2 唯一住房补贴协助：</w:t>
      </w:r>
    </w:p>
    <w:p w14:paraId="22E3D202">
      <w:pPr>
        <w:rPr>
          <w:rFonts w:hint="eastAsia" w:ascii="仿宋" w:hAnsi="仿宋" w:eastAsia="仿宋" w:cs="仿宋"/>
          <w:sz w:val="28"/>
          <w:szCs w:val="28"/>
        </w:rPr>
      </w:pPr>
      <w:r>
        <w:rPr>
          <w:rFonts w:hint="eastAsia" w:ascii="仿宋" w:hAnsi="仿宋" w:eastAsia="仿宋" w:cs="仿宋"/>
          <w:sz w:val="28"/>
          <w:szCs w:val="28"/>
        </w:rPr>
        <w:t>（1）若甲方需乙方协助申请唯一住房补贴，甲方应持续支付服务费至补贴款项到账之日。甲方已预付的服务期限超过补贴到账日的，超出部分的服务费，甲方明确表示自愿放弃向乙方主张退还的权利。</w:t>
      </w:r>
    </w:p>
    <w:p w14:paraId="0394462F">
      <w:pPr>
        <w:rPr>
          <w:rFonts w:hint="eastAsia" w:ascii="仿宋" w:hAnsi="仿宋" w:eastAsia="仿宋" w:cs="仿宋"/>
          <w:sz w:val="28"/>
          <w:szCs w:val="28"/>
        </w:rPr>
      </w:pPr>
      <w:r>
        <w:rPr>
          <w:rFonts w:hint="eastAsia" w:ascii="仿宋" w:hAnsi="仿宋" w:eastAsia="仿宋" w:cs="仿宋"/>
          <w:sz w:val="28"/>
          <w:szCs w:val="28"/>
        </w:rPr>
        <w:t>（2）甲方未按照上述付款期限付费的，属于逾期付费，逾期未超过七日，需要提供唯一住房补贴协助服务的，需另行支付唯一住房补贴金额的5%作为服务费；逾期超过七日，需要提供唯一住房补贴协助服务的，需另行支付唯一住房补贴金额的10%作为服务费。</w:t>
      </w:r>
    </w:p>
    <w:p w14:paraId="65E5D63B">
      <w:pPr>
        <w:rPr>
          <w:rFonts w:hint="eastAsia" w:ascii="仿宋" w:hAnsi="仿宋" w:eastAsia="仿宋" w:cs="仿宋"/>
          <w:sz w:val="28"/>
          <w:szCs w:val="28"/>
        </w:rPr>
      </w:pPr>
      <w:r>
        <w:rPr>
          <w:rFonts w:hint="eastAsia" w:ascii="仿宋" w:hAnsi="仿宋" w:eastAsia="仿宋" w:cs="仿宋"/>
          <w:sz w:val="28"/>
          <w:szCs w:val="28"/>
        </w:rPr>
        <w:t>5.3 转介绍优惠：甲方成功转介新客户与乙方签订同类合同并完成付费的，乙方可相应减免甲方5个月的月度服务费。</w:t>
      </w:r>
    </w:p>
    <w:p w14:paraId="6BF6F2B2">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第六条 保密条款</w:t>
      </w:r>
    </w:p>
    <w:p w14:paraId="5B72D033">
      <w:pPr>
        <w:rPr>
          <w:rFonts w:hint="eastAsia" w:ascii="仿宋" w:hAnsi="仿宋" w:eastAsia="仿宋" w:cs="仿宋"/>
          <w:sz w:val="28"/>
          <w:szCs w:val="28"/>
        </w:rPr>
      </w:pPr>
      <w:r>
        <w:rPr>
          <w:rFonts w:hint="eastAsia" w:ascii="仿宋" w:hAnsi="仿宋" w:eastAsia="仿宋" w:cs="仿宋"/>
          <w:sz w:val="28"/>
          <w:szCs w:val="28"/>
        </w:rPr>
        <w:t>双方应对在履行本合同过程中知悉的对方商业秘密、个人隐私及其他未公开信息予以保密，未经对方书面同意，不得向任何第三方泄露，亦不得用于本合同目的以外的用途。</w:t>
      </w:r>
    </w:p>
    <w:p w14:paraId="02964BF8">
      <w:pPr>
        <w:tabs>
          <w:tab w:val="left" w:pos="5041"/>
        </w:tabs>
        <w:ind w:left="0" w:leftChars="0" w:firstLine="0" w:firstLineChars="0"/>
        <w:rPr>
          <w:rFonts w:hint="eastAsia" w:ascii="仿宋" w:hAnsi="仿宋" w:eastAsia="仿宋" w:cs="仿宋"/>
          <w:b/>
          <w:bCs/>
          <w:sz w:val="28"/>
          <w:szCs w:val="28"/>
          <w:lang w:eastAsia="zh-CN"/>
        </w:rPr>
      </w:pPr>
      <w:r>
        <w:rPr>
          <w:rFonts w:hint="eastAsia" w:ascii="仿宋" w:hAnsi="仿宋" w:eastAsia="仿宋" w:cs="仿宋"/>
          <w:b/>
          <w:bCs/>
          <w:sz w:val="28"/>
          <w:szCs w:val="28"/>
        </w:rPr>
        <w:t>第七条 违约责任</w:t>
      </w:r>
      <w:r>
        <w:rPr>
          <w:rFonts w:hint="eastAsia" w:ascii="仿宋" w:hAnsi="仿宋" w:eastAsia="仿宋" w:cs="仿宋"/>
          <w:b/>
          <w:bCs/>
          <w:sz w:val="28"/>
          <w:szCs w:val="28"/>
          <w:lang w:eastAsia="zh-CN"/>
        </w:rPr>
        <w:tab/>
      </w:r>
    </w:p>
    <w:p w14:paraId="686ED765">
      <w:pPr>
        <w:rPr>
          <w:rFonts w:hint="eastAsia" w:ascii="仿宋" w:hAnsi="仿宋" w:eastAsia="仿宋" w:cs="仿宋"/>
          <w:sz w:val="28"/>
          <w:szCs w:val="28"/>
        </w:rPr>
      </w:pPr>
      <w:r>
        <w:rPr>
          <w:rFonts w:hint="eastAsia" w:ascii="仿宋" w:hAnsi="仿宋" w:eastAsia="仿宋" w:cs="仿宋"/>
          <w:sz w:val="28"/>
          <w:szCs w:val="28"/>
        </w:rPr>
        <w:t>协议双方应严格按照本协议的约定履行义务，否则构成违约，守约方除有权要求违约方停止侵害、消除影响外，并有权要求违约方支付违约金；违约金不足以弥补守约方损失的，守约方有权就不足部分另行主张赔偿。守约方为实现债权所支出的全部费用（包括但不限于仲裁费、保全费、律师费、差旅费、调查取证费等）均由违约方承担。</w:t>
      </w:r>
    </w:p>
    <w:p w14:paraId="6DCB3D82">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第八条 争议解决</w:t>
      </w:r>
    </w:p>
    <w:p w14:paraId="2B9E7101">
      <w:pPr>
        <w:rPr>
          <w:rFonts w:hint="eastAsia" w:ascii="仿宋" w:hAnsi="仿宋" w:eastAsia="仿宋" w:cs="仿宋"/>
          <w:sz w:val="28"/>
          <w:szCs w:val="28"/>
        </w:rPr>
      </w:pPr>
      <w:r>
        <w:rPr>
          <w:rFonts w:hint="eastAsia" w:ascii="仿宋" w:hAnsi="仿宋" w:eastAsia="仿宋" w:cs="仿宋"/>
          <w:sz w:val="28"/>
          <w:szCs w:val="28"/>
        </w:rPr>
        <w:t>因本合同引起的或与本合同有关的任何争议，双方应友好协商解决；协商不成的，任何一方均有权提交郑州仲裁委员会，按照申请仲裁时该会现行有效的仲裁规则进行仲裁。仲裁裁决是终局的，对双方均有约束力。</w:t>
      </w:r>
    </w:p>
    <w:p w14:paraId="1FFC4486">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第九条 其他</w:t>
      </w:r>
    </w:p>
    <w:p w14:paraId="75024D06">
      <w:pPr>
        <w:rPr>
          <w:rFonts w:hint="eastAsia" w:ascii="仿宋" w:hAnsi="仿宋" w:eastAsia="仿宋" w:cs="仿宋"/>
          <w:sz w:val="28"/>
          <w:szCs w:val="28"/>
        </w:rPr>
      </w:pPr>
      <w:r>
        <w:rPr>
          <w:rFonts w:hint="eastAsia" w:ascii="仿宋" w:hAnsi="仿宋" w:eastAsia="仿宋" w:cs="仿宋"/>
          <w:sz w:val="28"/>
          <w:szCs w:val="28"/>
        </w:rPr>
        <w:t>9.1 本合同自双方签字盖章之日起生效，一式二份，双方各执一份，具有同等法律效力。</w:t>
      </w:r>
    </w:p>
    <w:p w14:paraId="618FCCEF">
      <w:pPr>
        <w:rPr>
          <w:rFonts w:hint="eastAsia" w:ascii="仿宋" w:hAnsi="仿宋" w:eastAsia="仿宋" w:cs="仿宋"/>
          <w:sz w:val="28"/>
          <w:szCs w:val="28"/>
        </w:rPr>
      </w:pPr>
      <w:r>
        <w:rPr>
          <w:rFonts w:hint="eastAsia" w:ascii="仿宋" w:hAnsi="仿宋" w:eastAsia="仿宋" w:cs="仿宋"/>
          <w:sz w:val="28"/>
          <w:szCs w:val="28"/>
        </w:rPr>
        <w:t>9.2 本合同未尽事宜，由双方另行签订书面补充协议。</w:t>
      </w:r>
    </w:p>
    <w:p w14:paraId="3248F786">
      <w:pPr>
        <w:rPr>
          <w:rFonts w:hint="eastAsia" w:ascii="仿宋" w:hAnsi="仿宋" w:eastAsia="仿宋" w:cs="仿宋"/>
          <w:sz w:val="28"/>
          <w:szCs w:val="28"/>
        </w:rPr>
      </w:pPr>
      <w:r>
        <w:rPr>
          <w:rFonts w:hint="eastAsia" w:ascii="仿宋" w:hAnsi="仿宋" w:eastAsia="仿宋" w:cs="仿宋"/>
          <w:sz w:val="28"/>
          <w:szCs w:val="28"/>
        </w:rPr>
        <w:t>9.3 通知送达：本合同首部所列地址为双方有效送达地址。任何书面通知寄达该地址即视为送达。</w:t>
      </w:r>
    </w:p>
    <w:p w14:paraId="481F5266">
      <w:pPr>
        <w:rPr>
          <w:rFonts w:hint="eastAsia" w:ascii="仿宋" w:hAnsi="仿宋" w:eastAsia="仿宋" w:cs="仿宋"/>
          <w:sz w:val="28"/>
          <w:szCs w:val="28"/>
        </w:rPr>
      </w:pPr>
      <w:r>
        <w:rPr>
          <w:rFonts w:hint="eastAsia" w:ascii="仿宋" w:hAnsi="仿宋" w:eastAsia="仿宋" w:cs="仿宋"/>
          <w:sz w:val="28"/>
          <w:szCs w:val="28"/>
        </w:rPr>
        <w:t>（以下无正文）</w:t>
      </w:r>
    </w:p>
    <w:p w14:paraId="0B64375D">
      <w:pPr>
        <w:ind w:left="0" w:leftChars="0" w:firstLine="0" w:firstLineChars="0"/>
        <w:rPr>
          <w:rFonts w:hint="eastAsia" w:ascii="仿宋" w:hAnsi="仿宋" w:eastAsia="仿宋" w:cs="仿宋"/>
          <w:sz w:val="28"/>
          <w:szCs w:val="28"/>
        </w:rPr>
      </w:pPr>
    </w:p>
    <w:p w14:paraId="3C6A1309">
      <w:pPr>
        <w:rPr>
          <w:rFonts w:hint="eastAsia" w:ascii="仿宋" w:hAnsi="仿宋" w:eastAsia="仿宋" w:cs="仿宋"/>
          <w:sz w:val="28"/>
          <w:szCs w:val="28"/>
        </w:rPr>
      </w:pPr>
      <w:r>
        <w:rPr>
          <w:rFonts w:hint="eastAsia" w:ascii="仿宋" w:hAnsi="仿宋" w:eastAsia="仿宋" w:cs="仿宋"/>
          <w:sz w:val="28"/>
          <w:szCs w:val="28"/>
        </w:rPr>
        <w:t xml:space="preserve">甲方（签字按手印）：            </w:t>
      </w:r>
    </w:p>
    <w:p w14:paraId="4F31FB33">
      <w:pPr>
        <w:rPr>
          <w:rFonts w:hint="eastAsia" w:ascii="仿宋" w:hAnsi="仿宋" w:eastAsia="仿宋" w:cs="仿宋"/>
          <w:sz w:val="28"/>
          <w:szCs w:val="28"/>
        </w:rPr>
      </w:pPr>
      <w:r>
        <w:rPr>
          <w:rFonts w:hint="eastAsia" w:ascii="仿宋" w:hAnsi="仿宋" w:eastAsia="仿宋" w:cs="仿宋"/>
          <w:sz w:val="28"/>
          <w:szCs w:val="28"/>
        </w:rPr>
        <w:t>日期： ________年____月____日</w:t>
      </w:r>
    </w:p>
    <w:p w14:paraId="28CEDE55">
      <w:pPr>
        <w:ind w:left="0" w:leftChars="0" w:firstLine="0" w:firstLineChars="0"/>
        <w:rPr>
          <w:rFonts w:hint="eastAsia" w:ascii="仿宋" w:hAnsi="仿宋" w:eastAsia="仿宋" w:cs="仿宋"/>
          <w:sz w:val="28"/>
          <w:szCs w:val="28"/>
        </w:rPr>
      </w:pPr>
    </w:p>
    <w:p w14:paraId="383DAEB9">
      <w:pPr>
        <w:rPr>
          <w:rFonts w:hint="eastAsia" w:ascii="仿宋" w:hAnsi="仿宋" w:eastAsia="仿宋" w:cs="仿宋"/>
          <w:sz w:val="28"/>
          <w:szCs w:val="28"/>
        </w:rPr>
      </w:pPr>
      <w:r>
        <w:rPr>
          <w:rFonts w:hint="eastAsia" w:ascii="仿宋" w:hAnsi="仿宋" w:eastAsia="仿宋" w:cs="仿宋"/>
          <w:sz w:val="28"/>
          <w:szCs w:val="28"/>
        </w:rPr>
        <w:t xml:space="preserve">乙方（盖章）： </w:t>
      </w:r>
    </w:p>
    <w:p w14:paraId="5AEF637F">
      <w:pPr>
        <w:rPr>
          <w:rFonts w:hint="eastAsia" w:ascii="仿宋" w:hAnsi="仿宋" w:eastAsia="仿宋" w:cs="仿宋"/>
          <w:sz w:val="28"/>
          <w:szCs w:val="28"/>
        </w:rPr>
      </w:pPr>
      <w:r>
        <w:rPr>
          <w:rFonts w:hint="eastAsia" w:ascii="仿宋" w:hAnsi="仿宋" w:eastAsia="仿宋" w:cs="仿宋"/>
          <w:sz w:val="28"/>
          <w:szCs w:val="28"/>
        </w:rPr>
        <w:t>委托代理人（签字）：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   </w:t>
      </w:r>
    </w:p>
    <w:p w14:paraId="09227422">
      <w:pPr>
        <w:rPr>
          <w:rFonts w:hint="eastAsia" w:ascii="仿宋" w:hAnsi="仿宋" w:eastAsia="仿宋" w:cs="仿宋"/>
          <w:sz w:val="28"/>
          <w:szCs w:val="28"/>
        </w:rPr>
      </w:pPr>
      <w:r>
        <w:rPr>
          <w:rFonts w:hint="eastAsia" w:ascii="仿宋" w:hAnsi="仿宋" w:eastAsia="仿宋" w:cs="仿宋"/>
          <w:sz w:val="28"/>
          <w:szCs w:val="28"/>
        </w:rPr>
        <w:t>日期： ________年____月____日</w:t>
      </w:r>
    </w:p>
    <w:p w14:paraId="1AD622F9">
      <w:pPr>
        <w:rPr>
          <w:rFonts w:hint="eastAsia" w:ascii="仿宋" w:hAnsi="仿宋" w:eastAsia="仿宋" w:cs="仿宋"/>
          <w:sz w:val="28"/>
          <w:szCs w:val="28"/>
        </w:rPr>
      </w:pPr>
    </w:p>
    <w:p w14:paraId="59C48FAA">
      <w:pPr>
        <w:rPr>
          <w:rFonts w:hint="eastAsia" w:ascii="仿宋" w:hAnsi="仿宋" w:eastAsia="仿宋" w:cs="仿宋"/>
          <w:b/>
          <w:bCs/>
          <w:sz w:val="28"/>
          <w:szCs w:val="28"/>
        </w:rPr>
      </w:pPr>
      <w:r>
        <w:rPr>
          <w:rFonts w:hint="eastAsia" w:ascii="仿宋" w:hAnsi="仿宋" w:eastAsia="仿宋" w:cs="仿宋"/>
          <w:b/>
          <w:bCs/>
          <w:sz w:val="28"/>
          <w:szCs w:val="28"/>
        </w:rPr>
        <w:t>附件：案涉房屋不动产权证书复印件</w:t>
      </w:r>
    </w:p>
    <w:p w14:paraId="2924B21B">
      <w:pPr>
        <w:rPr>
          <w:rFonts w:hint="eastAsia" w:ascii="仿宋" w:hAnsi="仿宋" w:eastAsia="仿宋" w:cs="仿宋"/>
          <w:sz w:val="28"/>
          <w:szCs w:val="28"/>
        </w:rPr>
      </w:pPr>
    </w:p>
    <w:sectPr>
      <w:footerReference r:id="rId7" w:type="default"/>
      <w:pgSz w:w="11906" w:h="16838"/>
      <w:pgMar w:top="1213" w:right="1293" w:bottom="1043" w:left="1293" w:header="397" w:footer="510"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E16CD">
    <w:pPr>
      <w:pStyle w:val="2"/>
      <w:jc w:val="center"/>
    </w:pPr>
    <w:r>
      <w:rPr>
        <w:rFonts w:hint="eastAsia" w:eastAsiaTheme="minorEastAsia"/>
        <w:lang w:eastAsia="zh-CN"/>
      </w:rPr>
      <w:drawing>
        <wp:inline distT="0" distB="0" distL="114300" distR="114300">
          <wp:extent cx="2492375" cy="173990"/>
          <wp:effectExtent l="0" t="0" r="3175" b="16510"/>
          <wp:docPr id="2" name="图片 2" descr="39f3ebcb4e3de22394e1bd289647a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9f3ebcb4e3de22394e1bd289647a76"/>
                  <pic:cNvPicPr>
                    <a:picLocks noChangeAspect="1"/>
                  </pic:cNvPicPr>
                </pic:nvPicPr>
                <pic:blipFill>
                  <a:blip r:embed="rId1"/>
                  <a:stretch>
                    <a:fillRect/>
                  </a:stretch>
                </pic:blipFill>
                <pic:spPr>
                  <a:xfrm>
                    <a:off x="0" y="0"/>
                    <a:ext cx="2492375" cy="173990"/>
                  </a:xfrm>
                  <a:prstGeom prst="rect">
                    <a:avLst/>
                  </a:prstGeom>
                </pic:spPr>
              </pic:pic>
            </a:graphicData>
          </a:graphic>
        </wp:inline>
      </w:drawing>
    </w:r>
  </w:p>
  <w:p w14:paraId="7414FB8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75C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C75C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57966">
    <w:pPr>
      <w:pStyle w:val="2"/>
      <w:jc w:val="center"/>
    </w:pPr>
    <w:r>
      <w:rPr>
        <w:rFonts w:hint="eastAsia" w:eastAsiaTheme="minorEastAsia"/>
        <w:lang w:eastAsia="zh-CN"/>
      </w:rPr>
      <w:drawing>
        <wp:inline distT="0" distB="0" distL="114300" distR="114300">
          <wp:extent cx="2571750" cy="179705"/>
          <wp:effectExtent l="0" t="0" r="0" b="10795"/>
          <wp:docPr id="15" name="图片 15" descr="39f3ebcb4e3de22394e1bd289647a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9f3ebcb4e3de22394e1bd289647a76"/>
                  <pic:cNvPicPr>
                    <a:picLocks noChangeAspect="1"/>
                  </pic:cNvPicPr>
                </pic:nvPicPr>
                <pic:blipFill>
                  <a:blip r:embed="rId1"/>
                  <a:stretch>
                    <a:fillRect/>
                  </a:stretch>
                </pic:blipFill>
                <pic:spPr>
                  <a:xfrm>
                    <a:off x="0" y="0"/>
                    <a:ext cx="2571750" cy="179705"/>
                  </a:xfrm>
                  <a:prstGeom prst="rect">
                    <a:avLst/>
                  </a:prstGeom>
                </pic:spPr>
              </pic:pic>
            </a:graphicData>
          </a:graphic>
        </wp:inline>
      </w:drawing>
    </w:r>
  </w:p>
  <w:p w14:paraId="3DA73872">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6554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686554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D0AF3">
    <w:pPr>
      <w:pStyle w:val="3"/>
      <w:ind w:left="0" w:leftChars="0" w:firstLine="0" w:firstLineChars="0"/>
    </w:pPr>
    <w:r>
      <w:drawing>
        <wp:inline distT="0" distB="0" distL="0" distR="0">
          <wp:extent cx="5930900" cy="499745"/>
          <wp:effectExtent l="0" t="0" r="12700" b="14605"/>
          <wp:docPr id="4099" name="图片 17" descr="8e6d70dd2c25272b1b7d318a87800d8"/>
          <wp:cNvGraphicFramePr/>
          <a:graphic xmlns:a="http://schemas.openxmlformats.org/drawingml/2006/main">
            <a:graphicData uri="http://schemas.openxmlformats.org/drawingml/2006/picture">
              <pic:pic xmlns:pic="http://schemas.openxmlformats.org/drawingml/2006/picture">
                <pic:nvPicPr>
                  <pic:cNvPr id="4099" name="图片 17" descr="8e6d70dd2c25272b1b7d318a87800d8"/>
                  <pic:cNvPicPr/>
                </pic:nvPicPr>
                <pic:blipFill>
                  <a:blip r:embed="rId1" cstate="print"/>
                  <a:srcRect/>
                  <a:stretch>
                    <a:fillRect/>
                  </a:stretch>
                </pic:blipFill>
                <pic:spPr>
                  <a:xfrm>
                    <a:off x="0" y="0"/>
                    <a:ext cx="5930900" cy="50037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F784E4"/>
    <w:rsid w:val="21826499"/>
    <w:rsid w:val="29F43AE2"/>
    <w:rsid w:val="34810581"/>
    <w:rsid w:val="3A004AC4"/>
    <w:rsid w:val="472965B9"/>
    <w:rsid w:val="482F5E51"/>
    <w:rsid w:val="5BC8419B"/>
    <w:rsid w:val="5D681792"/>
    <w:rsid w:val="661A0911"/>
    <w:rsid w:val="7F1F1D98"/>
    <w:rsid w:val="B6FEF3F6"/>
    <w:rsid w:val="DFFF95EB"/>
    <w:rsid w:val="FAF78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80" w:firstLineChars="200"/>
    </w:pPr>
    <w:rPr>
      <w:rFonts w:ascii="Times New Roman" w:hAnsi="Times New Roman" w:eastAsia="黑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2265</Words>
  <Characters>2487</Characters>
  <Lines>0</Lines>
  <Paragraphs>0</Paragraphs>
  <TotalTime>5</TotalTime>
  <ScaleCrop>false</ScaleCrop>
  <LinksUpToDate>false</LinksUpToDate>
  <CharactersWithSpaces>2539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2025-12-12T15:01:00Z</dcterms:created>
  <dc:creator>赵京涛</dc:creator>
  <cp:lastModifiedBy>张慧敏</cp:lastModifiedBy>
  <dcterms:modified xsi:type="dcterms:W3CDTF">2025-12-12T10:05:16Z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0AA006249E9149939618A64F1FA82020_13</vt:lpwstr>
  </property>
  <property fmtid="{D5CDD505-2E9C-101B-9397-08002B2CF9AE}" pid="4" name="KSOTemplateDocerSaveRecord">
    <vt:lpwstr>eyJoZGlkIjoiNjY3ZTMzZDVmOTc5ZTFjOTUzNzNmZDQyZWZmMDk0NTEiLCJ1c2VySWQiOiI0MTI2NTQzNjkifQ==</vt:lpwstr>
  </property>
</Properties>
</file>