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38B01">
      <w:r>
        <w:rPr>
          <w:rFonts w:ascii="宋体" w:hAnsi="宋体" w:eastAsia="宋体" w:cs="宋体"/>
          <w:sz w:val="24"/>
          <w:szCs w:val="24"/>
        </w:rPr>
        <w:t>一、利益共同体：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1、代理商（经理）：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（1）银侨业务到账扣后金额×16%（增员、企财神、配资保房享卖一赠一政策，赠单直分90%）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（2）其他业务到账扣后金额×32%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（3）个性化（未按标准收费）业务到账扣后金额×32%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2、代理商（总监）：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（1）代理商（经理）收益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（2）代理商（经理）业务到账扣后金额×4.5%或2.25%（累计60万封顶）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3、代理商（优秀总监）：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（1）代理商（经理）收益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（2）代理商（经理）业务到账扣后金额×9%或4.5%（累计60万封顶）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二、事业共同体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1、办事处负责人：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（1）利用本办事处签单的全部业务到账扣后金额×7%或3.5%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2、政策委员会成员：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（1）本团队（含经理，总监，优秀总监）全员业务（增员除外）到账扣后金额×6.5%或3.25%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（2）本团队（含经理，总监，优秀总监）全员增员到账扣后金额×16.5%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（3）享有团队下属代理商（总监）管理奖的10%（累计最高10万）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三、命运共同体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1、省培负责人：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（1）所属省份全部（其他政策委员会成员团队业务除外）业务（增员除外）到账扣后金额×6.5%或3.25%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（2）所属省份全部（其他政策委员会成员团队增员除外）增员到账扣后金额×16.5%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（3）享有团队下属代理商（总监）管理奖的10%（累计最高10万）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2、律源通合伙人（省培负责人/省培合伙人）：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（1）律源通股权分红（所属省份业务及增员到账金额每达到100万，解锁股股权分红比例0.1%，业绩达到2000万时，解锁最高2%），由本省省培负责人和省培合伙人均分。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【备注】到账扣后金额的参考依据如下，具体以财务部解释为准。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（1）标准收费业务，到账扣后金额=到账金额-0%/10%/33%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（2）个性化（未按标准收费）业务，到账扣后金额=到账金额-具体成本（一单一定）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0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2025-11-25T07:12:48Z</dcterms:created>
  <dc:creator>Administrator</dc:creator>
  <cp:lastModifiedBy>银侨纾困</cp:lastModifiedBy>
  <dcterms:modified xsi:type="dcterms:W3CDTF">2025-11-25T07:12:55Z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eyJoZGlkIjoiNWY4NjBmNTlhMDU4YmNlYWViOTExMTc1NzZlZTBjMDMiLCJ1c2VySWQiOiIxMzQwMjU4MjA0In0=</vt:lpwstr>
  </property>
  <property fmtid="{D5CDD505-2E9C-101B-9397-08002B2CF9AE}" pid="4" name="ICV">
    <vt:lpwstr>18EE053D69C0429AADCB55C23BEEE321_12</vt:lpwstr>
  </property>
</Properties>
</file>